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Calibri" w:hAnsi="Calibri" w:eastAsia="Calibri"/>
          <w:b/>
          <w:color w:val="8D0A17"/>
          <w:sz w:val="21"/>
        </w:rPr>
        <w:t>OPEN VILLAGE 2026 · Д²ДОМ</w:t>
      </w:r>
    </w:p>
    <w:p>
      <w:pPr>
        <w:keepNext/>
        <w:spacing w:after="140"/>
      </w:pPr>
      <w:r>
        <w:rPr>
          <w:rFonts w:ascii="Calibri" w:hAnsi="Calibri" w:eastAsia="Calibri"/>
          <w:b/>
          <w:color w:val="5A0910"/>
          <w:sz w:val="54"/>
        </w:rPr>
        <w:t>Правила проведения</w:t>
        <w:br/>
        <w:t>розыгрыша</w:t>
      </w:r>
    </w:p>
    <w:p>
      <w:pPr>
        <w:spacing w:after="360"/>
      </w:pPr>
      <w:r>
        <w:rPr>
          <w:rFonts w:ascii="Calibri" w:hAnsi="Calibri" w:eastAsia="Calibri"/>
          <w:b w:val="0"/>
          <w:color w:val="667075"/>
          <w:sz w:val="26"/>
        </w:rPr>
        <w:t>Пять бесплатных выездов технического надзора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CF7F8" w:val="clea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 w:line="271" w:lineRule="auto"/>
            </w:pPr>
            <w:r>
              <w:rPr>
                <w:rFonts w:ascii="Calibri" w:hAnsi="Calibri" w:eastAsia="Calibri"/>
                <w:b/>
                <w:color w:val="5A0910"/>
                <w:sz w:val="22"/>
              </w:rPr>
              <w:t xml:space="preserve">Важно. </w:t>
            </w:r>
            <w:r>
              <w:rPr>
                <w:rFonts w:ascii="Calibri" w:hAnsi="Calibri" w:eastAsia="Calibri"/>
                <w:b w:val="0"/>
                <w:color w:val="25292C"/>
                <w:sz w:val="22"/>
              </w:rPr>
              <w:t>Участие бесплатное: покупать товары или услуги не нужно, и это не влияет на вероятность выигрыша.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380" w:after="180"/>
      </w:pPr>
      <w:r>
        <w:rPr>
          <w:rFonts w:ascii="Calibri" w:hAnsi="Calibri" w:eastAsia="Calibri"/>
          <w:b/>
          <w:color w:val="8D0A17"/>
          <w:sz w:val="32"/>
        </w:rPr>
        <w:t>1. Организатор и формат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6264"/>
      </w:tblGrid>
      <w:tr>
        <w:tc>
          <w:tcPr>
            <w:tcW w:type="dxa" w:w="3096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  <w:shd w:fill="F6EAEC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Организатор</w:t>
            </w:r>
          </w:p>
        </w:tc>
        <w:tc>
          <w:tcPr>
            <w:tcW w:type="dxa" w:w="6264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color w:val="25292C"/>
                <w:sz w:val="21"/>
              </w:rPr>
              <w:t>Общество с ограниченной ответственностью «ЕВРОДОМ»</w:t>
            </w:r>
          </w:p>
        </w:tc>
      </w:tr>
      <w:tr>
        <w:tc>
          <w:tcPr>
            <w:tcW w:type="dxa" w:w="3096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  <w:shd w:fill="F6EAEC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Сайт / контакты</w:t>
            </w:r>
          </w:p>
        </w:tc>
        <w:tc>
          <w:tcPr>
            <w:tcW w:type="dxa" w:w="6264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color w:val="25292C"/>
                <w:sz w:val="21"/>
              </w:rPr>
              <w:t>https://derevgroup.ru, 8 (495) 295-30-45, 5@derevgroup.ru</w:t>
            </w:r>
          </w:p>
        </w:tc>
      </w:tr>
      <w:tr>
        <w:tc>
          <w:tcPr>
            <w:tcW w:type="dxa" w:w="3096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  <w:shd w:fill="F6EAEC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Место</w:t>
            </w:r>
          </w:p>
        </w:tc>
        <w:tc>
          <w:tcPr>
            <w:tcW w:type="dxa" w:w="6264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color w:val="25292C"/>
                <w:sz w:val="21"/>
              </w:rPr>
              <w:t>Open Village 2026, стенд 6.7</w:t>
            </w:r>
          </w:p>
        </w:tc>
      </w:tr>
      <w:tr>
        <w:tc>
          <w:tcPr>
            <w:tcW w:type="dxa" w:w="3096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  <w:shd w:fill="F6EAEC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Формат</w:t>
            </w:r>
          </w:p>
        </w:tc>
        <w:tc>
          <w:tcPr>
            <w:tcW w:type="dxa" w:w="6264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color w:val="25292C"/>
                <w:sz w:val="21"/>
              </w:rPr>
              <w:t>Бесплатный розыгрыш призов среди посетителей стенда</w:t>
            </w:r>
          </w:p>
        </w:tc>
      </w:tr>
    </w:tbl>
    <w:p>
      <w:pPr>
        <w:spacing w:after="60"/>
      </w:pPr>
    </w:p>
    <w:p>
      <w:pPr>
        <w:spacing w:before="0" w:after="80" w:line="283" w:lineRule="auto"/>
      </w:pPr>
      <w:r>
        <w:rPr>
          <w:rFonts w:ascii="Calibri" w:hAnsi="Calibri" w:eastAsia="Calibri"/>
          <w:b w:val="0"/>
          <w:color w:val="25292C"/>
          <w:sz w:val="23"/>
        </w:rPr>
        <w:t>Розыгрыш не является лотереей, азартной игрой, пари или публичным конкурсом.</w:t>
      </w:r>
    </w:p>
    <w:p>
      <w:pPr>
        <w:spacing w:before="0" w:after="80" w:line="283" w:lineRule="auto"/>
      </w:pPr>
      <w:r>
        <w:rPr>
          <w:rFonts w:ascii="Calibri" w:hAnsi="Calibri" w:eastAsia="Calibri"/>
          <w:b w:val="0"/>
          <w:color w:val="25292C"/>
          <w:sz w:val="23"/>
        </w:rPr>
        <w:t>Участником может быть дееспособное физическое лицо старше 18 лет, которое не является сотрудником Д²ДОМ и имеет дом или квартиру с выполненными работами, доступными для осмотра, в Москве или Московской области.</w:t>
      </w:r>
    </w:p>
    <w:p>
      <w:pPr>
        <w:pStyle w:val="Heading1"/>
        <w:keepNext/>
        <w:spacing w:before="380" w:after="180"/>
      </w:pPr>
      <w:r>
        <w:rPr>
          <w:rFonts w:ascii="Calibri" w:hAnsi="Calibri" w:eastAsia="Calibri"/>
          <w:b/>
          <w:color w:val="8D0A17"/>
          <w:sz w:val="32"/>
        </w:rPr>
        <w:t>2. Сроки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6264"/>
      </w:tblGrid>
      <w:tr>
        <w:tc>
          <w:tcPr>
            <w:tcW w:type="dxa" w:w="3096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  <w:shd w:fill="F6EAEC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Приём заявок</w:t>
            </w:r>
          </w:p>
        </w:tc>
        <w:tc>
          <w:tcPr>
            <w:tcW w:type="dxa" w:w="6264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color w:val="25292C"/>
                <w:sz w:val="21"/>
              </w:rPr>
              <w:t>С 16 июля по 1 сентября 2026 года, до 19:00 МСК</w:t>
            </w:r>
          </w:p>
        </w:tc>
      </w:tr>
      <w:tr>
        <w:tc>
          <w:tcPr>
            <w:tcW w:type="dxa" w:w="3096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  <w:shd w:fill="F6EAEC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Определение победителей</w:t>
            </w:r>
          </w:p>
        </w:tc>
        <w:tc>
          <w:tcPr>
            <w:tcW w:type="dxa" w:w="6264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color w:val="25292C"/>
                <w:sz w:val="21"/>
              </w:rPr>
              <w:t>9 сентября 2026 года, в 17:00 МСК</w:t>
            </w:r>
          </w:p>
        </w:tc>
      </w:tr>
      <w:tr>
        <w:tc>
          <w:tcPr>
            <w:tcW w:type="dxa" w:w="3096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  <w:shd w:fill="F6EAEC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Уведомление победителей</w:t>
            </w:r>
          </w:p>
        </w:tc>
        <w:tc>
          <w:tcPr>
            <w:tcW w:type="dxa" w:w="6264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color w:val="25292C"/>
                <w:sz w:val="21"/>
              </w:rPr>
              <w:t>Не позднее трёх рабочих дней после розыгрыша — по телефону или в мессенджере</w:t>
            </w:r>
          </w:p>
        </w:tc>
      </w:tr>
      <w:tr>
        <w:tc>
          <w:tcPr>
            <w:tcW w:type="dxa" w:w="3096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  <w:shd w:fill="F6EAEC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0910"/>
                <w:sz w:val="21"/>
              </w:rPr>
              <w:t>Срок ответа победителя</w:t>
            </w:r>
          </w:p>
        </w:tc>
        <w:tc>
          <w:tcPr>
            <w:tcW w:type="dxa" w:w="6264"/>
            <w:vAlign w:val="center"/>
            <w:tcBorders>
              <w:top w:val="single" w:sz="8" w:space="0" w:color="D9C3C6"/>
              <w:left w:val="single" w:sz="8" w:space="0" w:color="D9C3C6"/>
              <w:bottom w:val="single" w:sz="8" w:space="0" w:color="D9C3C6"/>
              <w:right w:val="single" w:sz="8" w:space="0" w:color="D9C3C6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color w:val="25292C"/>
                <w:sz w:val="21"/>
              </w:rPr>
              <w:t>Пять рабочих дней с первого уведомления</w:t>
            </w:r>
          </w:p>
        </w:tc>
      </w:tr>
    </w:tbl>
    <w:p>
      <w:pPr>
        <w:spacing w:after="60"/>
      </w:pPr>
    </w:p>
    <w:p>
      <w:pPr>
        <w:pStyle w:val="Heading1"/>
        <w:keepNext/>
        <w:spacing w:before="380" w:after="180"/>
      </w:pPr>
      <w:r>
        <w:rPr>
          <w:rFonts w:ascii="Calibri" w:hAnsi="Calibri" w:eastAsia="Calibri"/>
          <w:b/>
          <w:color w:val="8D0A17"/>
          <w:sz w:val="32"/>
        </w:rPr>
        <w:t>3. Как участвовать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Заполнить форму участника на стенде или по QR-коду.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Указать имя, телефон, населённый пункт объекта и его стадию. Площадь и комментарий можно оставить по желанию.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Подтвердить принятие правил, возраст от 18 лет, отсутствие трудовых отношений с Д²ДОМ, наличие дома или квартиры с доступными для осмотра работами в Москве или Московской области, а также отдельно дать согласие на обработку персональных данных.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Один участник может подать одну заявку. Повторные заявки могут быть исключены.</w:t>
      </w:r>
    </w:p>
    <w:p>
      <w:pPr>
        <w:pStyle w:val="Heading1"/>
        <w:keepNext/>
        <w:spacing w:before="380" w:after="180"/>
      </w:pPr>
      <w:r>
        <w:rPr>
          <w:rFonts w:ascii="Calibri" w:hAnsi="Calibri" w:eastAsia="Calibri"/>
          <w:b/>
          <w:color w:val="8D0A17"/>
          <w:sz w:val="32"/>
        </w:rPr>
        <w:t>4. Как выбираются победители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Победители выбираются случайным способом из заявок, соответствующих правилам.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Количество победителей: пять человек.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Организатор может определить резервных участников, если победитель не отвечает, отказался от приза или указал недостоверные данные.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Результаты фиксируются Организатором во внутреннем протоколе.</w:t>
      </w:r>
    </w:p>
    <w:p>
      <w:pPr>
        <w:pStyle w:val="Heading1"/>
        <w:keepNext/>
        <w:spacing w:before="380" w:after="180"/>
      </w:pPr>
      <w:r>
        <w:rPr>
          <w:rFonts w:ascii="Calibri" w:hAnsi="Calibri" w:eastAsia="Calibri"/>
          <w:b/>
          <w:color w:val="8D0A17"/>
          <w:sz w:val="32"/>
        </w:rPr>
        <w:t>5. Приз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Каждый победитель получает один бесплатный выезд специалиста технического надзора в дом или квартиру в Москве или Московской области. Специалист осматривает доступные строительные, инженерные или отделочные работы, фиксирует заметные риски и рекомендует следующий шаг.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Приз нельзя обменять на деньги или разделить на несколько выездов.</w:t>
      </w:r>
    </w:p>
    <w:p>
      <w:pPr>
        <w:pStyle w:val="ListBullet"/>
        <w:spacing w:after="100" w:line="269" w:lineRule="auto"/>
      </w:pPr>
      <w:r>
        <w:rPr>
          <w:rFonts w:ascii="Calibri" w:hAnsi="Calibri" w:eastAsia="Calibri"/>
          <w:b w:val="0"/>
          <w:color w:val="25292C"/>
          <w:sz w:val="23"/>
        </w:rPr>
        <w:t>Срок действия приза: 365 календарных дней с даты выдачи сертификата.</w:t>
      </w:r>
    </w:p>
    <w:p>
      <w:pPr>
        <w:pStyle w:val="Heading1"/>
        <w:keepNext/>
        <w:spacing w:before="380" w:after="180"/>
      </w:pPr>
      <w:r>
        <w:rPr>
          <w:rFonts w:ascii="Calibri" w:hAnsi="Calibri" w:eastAsia="Calibri"/>
          <w:b/>
          <w:color w:val="8D0A17"/>
          <w:sz w:val="32"/>
        </w:rPr>
        <w:t>6. Данные и налоги</w:t>
      </w:r>
    </w:p>
    <w:p>
      <w:pPr>
        <w:spacing w:before="0" w:after="140" w:line="283" w:lineRule="auto"/>
      </w:pPr>
      <w:r>
        <w:rPr>
          <w:rFonts w:ascii="Calibri" w:hAnsi="Calibri" w:eastAsia="Calibri"/>
          <w:b w:val="0"/>
          <w:color w:val="25292C"/>
          <w:sz w:val="23"/>
        </w:rPr>
        <w:t>Персональные данные обрабатываются только для участия в розыгрыше, связи с победителями, выдачи приза и необходимого учёта.</w:t>
      </w:r>
    </w:p>
    <w:p>
      <w:pPr>
        <w:spacing w:before="0" w:after="0" w:line="283" w:lineRule="auto"/>
      </w:pPr>
      <w:r>
        <w:rPr>
          <w:rFonts w:ascii="Calibri" w:hAnsi="Calibri" w:eastAsia="Calibri"/>
          <w:b w:val="0"/>
          <w:color w:val="25292C"/>
          <w:sz w:val="23"/>
        </w:rPr>
        <w:t>Если стоимость приза по закону образует налогооблагаемый доход, Организатор и победитель действуют по правилам Налогового кодекса РФ. Победителю могут потребоваться дополнительные данные для оформления приза.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120" w:type="dxa"/>
    </w:tblPr>
    <w:tblGrid>
      <w:gridCol w:w="6000"/>
      <w:gridCol w:w="3360"/>
    </w:tblGrid>
    <w:tr>
      <w:tc>
        <w:tcPr>
          <w:tcW w:type="dxa" w:w="6000"/>
          <w:tcMar>
            <w:top w:w="80" w:type="dxa"/>
            <w:start w:w="120" w:type="dxa"/>
            <w:bottom w:w="80" w:type="dxa"/>
            <w:end w:w="120" w:type="dxa"/>
          </w:tcMar>
          <w:tcBorders>
            <w:top w:val="nil" w:sz="6" w:space="0" w:color="D8C7C9"/>
            <w:left w:val="nil" w:sz="6" w:space="0" w:color="D8C7C9"/>
            <w:bottom w:val="nil" w:sz="6" w:space="0" w:color="D8C7C9"/>
            <w:right w:val="nil" w:sz="6" w:space="0" w:color="D8C7C9"/>
          </w:tcBorders>
          <w:vAlign w:val="center"/>
        </w:tcPr>
        <w:p>
          <w:pPr>
            <w:spacing w:after="0"/>
          </w:pPr>
          <w:r>
            <w:rPr>
              <w:rFonts w:ascii="Calibri" w:hAnsi="Calibri" w:eastAsia="Calibri"/>
              <w:color w:val="667075"/>
              <w:sz w:val="18"/>
            </w:rPr>
            <w:t>derevgroup2026.ru/promo/</w:t>
          </w:r>
        </w:p>
      </w:tc>
      <w:tc>
        <w:tcPr>
          <w:tcW w:type="dxa" w:w="3360"/>
          <w:tcMar>
            <w:top w:w="80" w:type="dxa"/>
            <w:start w:w="120" w:type="dxa"/>
            <w:bottom w:w="80" w:type="dxa"/>
            <w:end w:w="120" w:type="dxa"/>
          </w:tcMar>
          <w:tcBorders>
            <w:top w:val="nil" w:sz="6" w:space="0" w:color="D8C7C9"/>
            <w:left w:val="nil" w:sz="6" w:space="0" w:color="D8C7C9"/>
            <w:bottom w:val="nil" w:sz="6" w:space="0" w:color="D8C7C9"/>
            <w:right w:val="nil" w:sz="6" w:space="0" w:color="D8C7C9"/>
          </w:tcBorders>
          <w:vAlign w:val="center"/>
        </w:tcPr>
        <w:p>
          <w:pPr>
            <w:spacing w:after="0"/>
            <w:jc w:val="right"/>
          </w:pPr>
          <w:r>
            <w:rPr>
              <w:rFonts w:ascii="Calibri" w:hAnsi="Calibri" w:eastAsia="Calibri"/>
              <w:color w:val="667075"/>
              <w:sz w:val="18"/>
            </w:rPr>
            <w:t xml:space="preserve">Страница </w:t>
          </w:r>
          <w:r>
            <w:rPr>
              <w:rFonts w:ascii="Calibri" w:hAnsi="Calibri" w:eastAsia="Calibri"/>
              <w:color w:val="667075"/>
              <w:sz w:val="18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120" w:type="dxa"/>
    </w:tblPr>
    <w:tblGrid>
      <w:gridCol w:w="4680"/>
      <w:gridCol w:w="4680"/>
    </w:tblGrid>
    <w:tr>
      <w:tc>
        <w:tcPr>
          <w:tcW w:type="dxa" w:w="4680"/>
          <w:tcMar>
            <w:top w:w="80" w:type="dxa"/>
            <w:start w:w="120" w:type="dxa"/>
            <w:bottom w:w="80" w:type="dxa"/>
            <w:end w:w="120" w:type="dxa"/>
          </w:tcMar>
          <w:tcBorders>
            <w:top w:val="nil" w:sz="6" w:space="0" w:color="D8C7C9"/>
            <w:left w:val="nil" w:sz="6" w:space="0" w:color="D8C7C9"/>
            <w:bottom w:val="nil" w:sz="6" w:space="0" w:color="D8C7C9"/>
            <w:right w:val="nil" w:sz="6" w:space="0" w:color="D8C7C9"/>
          </w:tcBorders>
          <w:vAlign w:val="center"/>
        </w:tcPr>
        <w:p>
          <w:pPr>
            <w:spacing w:after="0"/>
            <w:jc w:val="left"/>
          </w:pPr>
          <w:r>
            <w:rPr>
              <w:rFonts w:ascii="Calibri" w:hAnsi="Calibri" w:eastAsia="Calibri"/>
              <w:b/>
              <w:color w:val="667075"/>
              <w:sz w:val="21"/>
            </w:rPr>
            <w:t>Д²ДОМ · Open Village 2026</w:t>
          </w:r>
        </w:p>
      </w:tc>
      <w:tc>
        <w:tcPr>
          <w:tcW w:type="dxa" w:w="4680"/>
          <w:tcMar>
            <w:top w:w="80" w:type="dxa"/>
            <w:start w:w="120" w:type="dxa"/>
            <w:bottom w:w="80" w:type="dxa"/>
            <w:end w:w="120" w:type="dxa"/>
          </w:tcMar>
          <w:tcBorders>
            <w:top w:val="nil" w:sz="6" w:space="0" w:color="D8C7C9"/>
            <w:left w:val="nil" w:sz="6" w:space="0" w:color="D8C7C9"/>
            <w:bottom w:val="nil" w:sz="6" w:space="0" w:color="D8C7C9"/>
            <w:right w:val="nil" w:sz="6" w:space="0" w:color="D8C7C9"/>
          </w:tcBorders>
          <w:vAlign w:val="center"/>
        </w:tcPr>
        <w:p>
          <w:pPr>
            <w:spacing w:after="0"/>
            <w:jc w:val="right"/>
          </w:pPr>
          <w:r>
            <w:rPr>
              <w:rFonts w:ascii="Calibri" w:hAnsi="Calibri" w:eastAsia="Calibri"/>
              <w:b w:val="0"/>
              <w:color w:val="667075"/>
              <w:sz w:val="21"/>
            </w:rPr>
            <w:t>Правила розыгрыша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2">
    <w:abstractNumId w:val="11"/>
  </w:num>
  <w:abstractNum w:abstractNumId="12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2529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8D0A1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5A091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5A091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eKicker">
    <w:name w:val="Guide Kicker"/>
    <w:pPr>
      <w:keepNext/>
      <w:spacing w:before="0" w:after="120" w:line="276" w:lineRule="auto"/>
    </w:pPr>
    <w:rPr>
      <w:rFonts w:ascii="Calibri" w:hAnsi="Calibri"/>
      <w:b/>
      <w:color w:val="8D0A17"/>
      <w:sz w:val="21"/>
    </w:rPr>
  </w:style>
  <w:style w:type="paragraph" w:customStyle="1" w:styleId="GuideTitle">
    <w:name w:val="Guide Title"/>
    <w:pPr>
      <w:keepNext/>
      <w:spacing w:before="0" w:after="160" w:line="276" w:lineRule="auto"/>
    </w:pPr>
    <w:rPr>
      <w:rFonts w:ascii="Calibri" w:hAnsi="Calibri"/>
      <w:b/>
      <w:color w:val="5A0910"/>
      <w:sz w:val="56"/>
    </w:rPr>
  </w:style>
  <w:style w:type="paragraph" w:customStyle="1" w:styleId="GuideSubtitle">
    <w:name w:val="Guide Subtitle"/>
    <w:pPr>
      <w:spacing w:before="0" w:after="360" w:line="276" w:lineRule="auto"/>
    </w:pPr>
    <w:rPr>
      <w:rFonts w:ascii="Calibri" w:hAnsi="Calibri"/>
      <w:color w:val="667075"/>
      <w:sz w:val="26"/>
    </w:rPr>
  </w:style>
  <w:style w:type="paragraph" w:customStyle="1" w:styleId="GuideNote">
    <w:name w:val="Guide Note"/>
    <w:pPr>
      <w:spacing w:before="0" w:after="80" w:line="276" w:lineRule="auto"/>
    </w:pPr>
    <w:rPr>
      <w:rFonts w:ascii="Calibri" w:hAnsi="Calibri"/>
      <w:color w:val="667075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erevgroup2026.ru/promo/" TargetMode="External"/><Relationship Id="rId12" Type="http://schemas.openxmlformats.org/officeDocument/2006/relationships/hyperlink" Target="https://derevgroup2026.ru/promo/rul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участника розыгрыша Open Village 2026</dc:title>
  <dc:subject>Розыгрыш 5 выездов технического надзора Д²ДОМ</dc:subject>
  <dc:creator>ООО «ЕВРОДОМ» / Д²ДОМ</dc:creator>
  <cp:keywords/>
  <dc:description>Подробная пользовательская памятка на основе правил розыгрыша и страницы акции.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